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61A52" w14:textId="77777777" w:rsidR="00262FEA" w:rsidRPr="00262FEA" w:rsidRDefault="00262FEA" w:rsidP="00262FE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eastAsia="Times New Roman" w:hAnsi="Century Gothic" w:cs="Arial"/>
          <w:sz w:val="18"/>
          <w:szCs w:val="18"/>
          <w:lang w:val="es-MX" w:eastAsia="es-MX"/>
        </w:rPr>
      </w:pPr>
      <w:bookmarkStart w:id="0" w:name="_GoBack"/>
      <w:bookmarkEnd w:id="0"/>
    </w:p>
    <w:p w14:paraId="416E38D0" w14:textId="282028D3" w:rsidR="00BE3087" w:rsidRDefault="00783DCC" w:rsidP="00783DCC">
      <w:pPr>
        <w:pStyle w:val="Prrafodelista"/>
        <w:spacing w:line="276" w:lineRule="auto"/>
        <w:ind w:left="1440" w:right="51"/>
        <w:jc w:val="center"/>
        <w:outlineLvl w:val="0"/>
        <w:rPr>
          <w:rFonts w:ascii="Century Gothic" w:hAnsi="Century Gothic" w:cs="Arial"/>
          <w:b/>
          <w:bCs/>
          <w:color w:val="000000"/>
          <w:sz w:val="22"/>
          <w:szCs w:val="22"/>
          <w:lang w:val="es-MX"/>
        </w:rPr>
      </w:pPr>
      <w:r w:rsidRPr="00783DCC">
        <w:rPr>
          <w:rFonts w:ascii="Century Gothic" w:hAnsi="Century Gothic" w:cs="Arial"/>
          <w:b/>
          <w:bCs/>
          <w:color w:val="000000"/>
          <w:sz w:val="22"/>
          <w:szCs w:val="22"/>
          <w:lang w:val="es-MX"/>
        </w:rPr>
        <w:t xml:space="preserve">Anexo 8 </w:t>
      </w:r>
      <w:r w:rsidR="00BE3087" w:rsidRPr="00783DCC">
        <w:rPr>
          <w:rFonts w:ascii="Century Gothic" w:hAnsi="Century Gothic" w:cs="Arial"/>
          <w:b/>
          <w:bCs/>
          <w:color w:val="000000"/>
          <w:sz w:val="22"/>
          <w:szCs w:val="22"/>
          <w:lang w:val="es-MX"/>
        </w:rPr>
        <w:t>Resultado de las acciones para atender los as</w:t>
      </w:r>
      <w:r w:rsidRPr="00783DCC">
        <w:rPr>
          <w:rFonts w:ascii="Century Gothic" w:hAnsi="Century Gothic" w:cs="Arial"/>
          <w:b/>
          <w:bCs/>
          <w:color w:val="000000"/>
          <w:sz w:val="22"/>
          <w:szCs w:val="22"/>
          <w:lang w:val="es-MX"/>
        </w:rPr>
        <w:t>pectos susceptibles de mejora</w:t>
      </w:r>
    </w:p>
    <w:p w14:paraId="74CAF087" w14:textId="77777777" w:rsidR="00783DCC" w:rsidRPr="00783DCC" w:rsidRDefault="00783DCC" w:rsidP="00783DCC">
      <w:pPr>
        <w:pStyle w:val="Prrafodelista"/>
        <w:spacing w:line="276" w:lineRule="auto"/>
        <w:ind w:left="1440" w:right="51"/>
        <w:jc w:val="center"/>
        <w:outlineLvl w:val="0"/>
        <w:rPr>
          <w:rFonts w:ascii="Century Gothic" w:hAnsi="Century Gothic" w:cs="Arial"/>
          <w:b/>
          <w:bCs/>
          <w:color w:val="000000"/>
          <w:sz w:val="22"/>
          <w:szCs w:val="22"/>
          <w:lang w:val="es-MX"/>
        </w:rPr>
      </w:pPr>
    </w:p>
    <w:tbl>
      <w:tblPr>
        <w:tblW w:w="5301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6"/>
        <w:gridCol w:w="2555"/>
      </w:tblGrid>
      <w:tr w:rsidR="00783DCC" w:rsidRPr="003A5A14" w14:paraId="107BE6CD" w14:textId="77777777" w:rsidTr="00DE20F6">
        <w:trPr>
          <w:trHeight w:val="63"/>
        </w:trPr>
        <w:tc>
          <w:tcPr>
            <w:tcW w:w="2746" w:type="dxa"/>
            <w:shd w:val="clear" w:color="auto" w:fill="auto"/>
            <w:noWrap/>
            <w:vAlign w:val="bottom"/>
            <w:hideMark/>
          </w:tcPr>
          <w:p w14:paraId="795B2C66" w14:textId="77777777" w:rsidR="00783DCC" w:rsidRPr="008B5B74" w:rsidRDefault="00783DCC" w:rsidP="00DE20F6">
            <w:pPr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</w:pPr>
            <w:r w:rsidRPr="008B5B74"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  <w:t>Nombre del Programa:</w:t>
            </w:r>
          </w:p>
        </w:tc>
        <w:tc>
          <w:tcPr>
            <w:tcW w:w="2555" w:type="dxa"/>
            <w:shd w:val="clear" w:color="auto" w:fill="auto"/>
          </w:tcPr>
          <w:p w14:paraId="39C332AD" w14:textId="77777777" w:rsidR="00783DCC" w:rsidRPr="003A5A14" w:rsidRDefault="00783DCC" w:rsidP="00DE20F6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3A5A14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MX"/>
              </w:rPr>
              <w:t>Programa Nacional de Becas</w:t>
            </w:r>
          </w:p>
        </w:tc>
      </w:tr>
      <w:tr w:rsidR="00783DCC" w:rsidRPr="003A5A14" w14:paraId="6A591458" w14:textId="77777777" w:rsidTr="00DE20F6">
        <w:trPr>
          <w:trHeight w:val="149"/>
        </w:trPr>
        <w:tc>
          <w:tcPr>
            <w:tcW w:w="2746" w:type="dxa"/>
            <w:shd w:val="clear" w:color="auto" w:fill="auto"/>
            <w:noWrap/>
            <w:vAlign w:val="bottom"/>
            <w:hideMark/>
          </w:tcPr>
          <w:p w14:paraId="7C51F2AD" w14:textId="77777777" w:rsidR="00783DCC" w:rsidRPr="008B5B74" w:rsidRDefault="00783DCC" w:rsidP="00DE20F6">
            <w:pPr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</w:pPr>
            <w:r w:rsidRPr="008B5B74"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  <w:t>Modalidad:</w:t>
            </w:r>
          </w:p>
        </w:tc>
        <w:tc>
          <w:tcPr>
            <w:tcW w:w="2555" w:type="dxa"/>
            <w:shd w:val="clear" w:color="auto" w:fill="auto"/>
          </w:tcPr>
          <w:p w14:paraId="6ED7DD7E" w14:textId="77777777" w:rsidR="00783DCC" w:rsidRPr="003A5A14" w:rsidRDefault="00783DCC" w:rsidP="00DE20F6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3A5A14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MX"/>
              </w:rPr>
              <w:t>S243</w:t>
            </w:r>
          </w:p>
        </w:tc>
      </w:tr>
      <w:tr w:rsidR="00783DCC" w:rsidRPr="003A5A14" w14:paraId="41CC2F23" w14:textId="77777777" w:rsidTr="00DE20F6">
        <w:trPr>
          <w:trHeight w:val="81"/>
        </w:trPr>
        <w:tc>
          <w:tcPr>
            <w:tcW w:w="2746" w:type="dxa"/>
            <w:shd w:val="clear" w:color="auto" w:fill="auto"/>
            <w:noWrap/>
            <w:vAlign w:val="bottom"/>
            <w:hideMark/>
          </w:tcPr>
          <w:p w14:paraId="766E719F" w14:textId="77777777" w:rsidR="00783DCC" w:rsidRPr="008B5B74" w:rsidRDefault="00783DCC" w:rsidP="00DE20F6">
            <w:pPr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</w:pPr>
            <w:r w:rsidRPr="008B5B74"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  <w:t>Dependencia/Entidad:</w:t>
            </w:r>
          </w:p>
        </w:tc>
        <w:tc>
          <w:tcPr>
            <w:tcW w:w="2555" w:type="dxa"/>
            <w:shd w:val="clear" w:color="auto" w:fill="auto"/>
          </w:tcPr>
          <w:p w14:paraId="0609D20F" w14:textId="77777777" w:rsidR="00783DCC" w:rsidRPr="003A5A14" w:rsidRDefault="00783DCC" w:rsidP="00DE20F6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3A5A14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MX"/>
              </w:rPr>
              <w:t>SEP</w:t>
            </w:r>
          </w:p>
        </w:tc>
      </w:tr>
      <w:tr w:rsidR="00783DCC" w:rsidRPr="003A5A14" w14:paraId="2340EEEC" w14:textId="77777777" w:rsidTr="00DE20F6">
        <w:trPr>
          <w:trHeight w:val="154"/>
        </w:trPr>
        <w:tc>
          <w:tcPr>
            <w:tcW w:w="2746" w:type="dxa"/>
            <w:shd w:val="clear" w:color="auto" w:fill="auto"/>
            <w:noWrap/>
            <w:vAlign w:val="bottom"/>
            <w:hideMark/>
          </w:tcPr>
          <w:p w14:paraId="51393991" w14:textId="77777777" w:rsidR="00783DCC" w:rsidRPr="008B5B74" w:rsidRDefault="00783DCC" w:rsidP="00DE20F6">
            <w:pPr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</w:pPr>
            <w:r w:rsidRPr="008B5B74"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  <w:t>Unidad Responsable:</w:t>
            </w:r>
          </w:p>
        </w:tc>
        <w:tc>
          <w:tcPr>
            <w:tcW w:w="2555" w:type="dxa"/>
            <w:shd w:val="clear" w:color="auto" w:fill="auto"/>
          </w:tcPr>
          <w:p w14:paraId="1B624014" w14:textId="77777777" w:rsidR="00783DCC" w:rsidRPr="003A5A14" w:rsidRDefault="00783DCC" w:rsidP="00DE20F6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</w:tr>
      <w:tr w:rsidR="00783DCC" w:rsidRPr="003A5A14" w14:paraId="167C6EF9" w14:textId="77777777" w:rsidTr="00DE20F6">
        <w:trPr>
          <w:trHeight w:val="87"/>
        </w:trPr>
        <w:tc>
          <w:tcPr>
            <w:tcW w:w="2746" w:type="dxa"/>
            <w:shd w:val="clear" w:color="auto" w:fill="auto"/>
            <w:noWrap/>
            <w:vAlign w:val="bottom"/>
            <w:hideMark/>
          </w:tcPr>
          <w:p w14:paraId="0D1A9B4B" w14:textId="77777777" w:rsidR="00783DCC" w:rsidRPr="008B5B74" w:rsidRDefault="00783DCC" w:rsidP="00DE20F6">
            <w:pPr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</w:pPr>
            <w:r w:rsidRPr="008B5B74"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  <w:t>Tipo de Evaluación:</w:t>
            </w:r>
          </w:p>
        </w:tc>
        <w:tc>
          <w:tcPr>
            <w:tcW w:w="2555" w:type="dxa"/>
            <w:shd w:val="clear" w:color="auto" w:fill="auto"/>
          </w:tcPr>
          <w:p w14:paraId="50C451A1" w14:textId="77777777" w:rsidR="00783DCC" w:rsidRPr="003A5A14" w:rsidRDefault="00783DCC" w:rsidP="00DE20F6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3A5A14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MX"/>
              </w:rPr>
              <w:t>Evaluación de Consistencia y Resultados</w:t>
            </w:r>
          </w:p>
        </w:tc>
      </w:tr>
      <w:tr w:rsidR="00783DCC" w:rsidRPr="003A5A14" w14:paraId="61F8D4EC" w14:textId="77777777" w:rsidTr="00DE20F6">
        <w:trPr>
          <w:trHeight w:val="175"/>
        </w:trPr>
        <w:tc>
          <w:tcPr>
            <w:tcW w:w="2746" w:type="dxa"/>
            <w:shd w:val="clear" w:color="auto" w:fill="auto"/>
            <w:noWrap/>
            <w:vAlign w:val="bottom"/>
            <w:hideMark/>
          </w:tcPr>
          <w:p w14:paraId="3EBA05FF" w14:textId="77777777" w:rsidR="00783DCC" w:rsidRPr="008B5B74" w:rsidRDefault="00783DCC" w:rsidP="00DE20F6">
            <w:pPr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</w:pPr>
            <w:r w:rsidRPr="008B5B74">
              <w:rPr>
                <w:rFonts w:ascii="Century Gothic" w:hAnsi="Century Gothic" w:cs="Arial"/>
                <w:bCs/>
                <w:color w:val="000000"/>
                <w:sz w:val="16"/>
                <w:szCs w:val="16"/>
                <w:lang w:val="es-MX"/>
              </w:rPr>
              <w:t>Año de la Evaluación:</w:t>
            </w:r>
          </w:p>
        </w:tc>
        <w:tc>
          <w:tcPr>
            <w:tcW w:w="2555" w:type="dxa"/>
            <w:shd w:val="clear" w:color="auto" w:fill="auto"/>
          </w:tcPr>
          <w:p w14:paraId="0184E2AE" w14:textId="77777777" w:rsidR="00783DCC" w:rsidRPr="003A5A14" w:rsidRDefault="00783DCC" w:rsidP="00DE20F6">
            <w:pPr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3A5A14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  <w:lang w:val="es-MX"/>
              </w:rPr>
              <w:t>2017</w:t>
            </w:r>
          </w:p>
        </w:tc>
      </w:tr>
    </w:tbl>
    <w:p w14:paraId="0705820F" w14:textId="14984E15" w:rsidR="00783DCC" w:rsidRDefault="00783DCC" w:rsidP="00284560">
      <w:pPr>
        <w:spacing w:line="276" w:lineRule="auto"/>
        <w:ind w:right="51"/>
        <w:rPr>
          <w:rFonts w:ascii="Century Gothic" w:hAnsi="Century Gothic" w:cs="Arial"/>
          <w:b/>
          <w:iCs/>
          <w:szCs w:val="22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9"/>
        <w:gridCol w:w="9935"/>
      </w:tblGrid>
      <w:tr w:rsidR="00C17C00" w:rsidRPr="00C17C00" w14:paraId="45A72720" w14:textId="77777777" w:rsidTr="00F46D53">
        <w:trPr>
          <w:trHeight w:val="280"/>
          <w:jc w:val="center"/>
        </w:trPr>
        <w:tc>
          <w:tcPr>
            <w:tcW w:w="2399" w:type="dxa"/>
            <w:shd w:val="clear" w:color="auto" w:fill="4472C4" w:themeFill="accent1"/>
          </w:tcPr>
          <w:p w14:paraId="5A54C783" w14:textId="77777777" w:rsidR="00C17C00" w:rsidRPr="00C17C00" w:rsidRDefault="00C17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C17C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Producto</w:t>
            </w:r>
          </w:p>
        </w:tc>
        <w:tc>
          <w:tcPr>
            <w:tcW w:w="9935" w:type="dxa"/>
            <w:shd w:val="clear" w:color="auto" w:fill="4472C4" w:themeFill="accent1"/>
          </w:tcPr>
          <w:p w14:paraId="0176CD1B" w14:textId="77777777" w:rsidR="00C17C00" w:rsidRPr="00C17C00" w:rsidRDefault="00C17C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C17C00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Resultados</w:t>
            </w:r>
          </w:p>
        </w:tc>
      </w:tr>
      <w:tr w:rsidR="00F46D53" w14:paraId="35096ACE" w14:textId="77777777" w:rsidTr="00F46D53">
        <w:trPr>
          <w:trHeight w:val="763"/>
          <w:jc w:val="center"/>
        </w:trPr>
        <w:tc>
          <w:tcPr>
            <w:tcW w:w="2399" w:type="dxa"/>
          </w:tcPr>
          <w:p w14:paraId="3894D7CF" w14:textId="77777777" w:rsidR="00C17C00" w:rsidRDefault="00C17C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 2016</w:t>
            </w:r>
          </w:p>
        </w:tc>
        <w:tc>
          <w:tcPr>
            <w:tcW w:w="9935" w:type="dxa"/>
          </w:tcPr>
          <w:p w14:paraId="4127F5B1" w14:textId="1CBE5593" w:rsidR="00C17C00" w:rsidRDefault="00C17C00" w:rsidP="00DE2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Respecto a la MIR 2014 se ha mejorado</w:t>
            </w:r>
            <w:r w:rsidR="00D6011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manera general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MIR del programa. En la MIR 2017 se identifica el problema, se han reflejado cambios en la población objetivo, se ha mejorado el </w:t>
            </w:r>
            <w:r w:rsidR="00FC587A">
              <w:rPr>
                <w:rFonts w:ascii="Calibri" w:hAnsi="Calibri" w:cs="Calibri"/>
                <w:color w:val="000000"/>
                <w:sz w:val="20"/>
                <w:szCs w:val="20"/>
              </w:rPr>
              <w:t>propósito, se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han definido los bienes del programa, se han esclarecido los procesos de operación de las diversos tipos de becas y las actividades son más claras.</w:t>
            </w:r>
          </w:p>
        </w:tc>
      </w:tr>
      <w:tr w:rsidR="00F46D53" w14:paraId="1D60AB76" w14:textId="77777777" w:rsidTr="00F46D53">
        <w:trPr>
          <w:trHeight w:val="595"/>
          <w:jc w:val="center"/>
        </w:trPr>
        <w:tc>
          <w:tcPr>
            <w:tcW w:w="2399" w:type="dxa"/>
          </w:tcPr>
          <w:p w14:paraId="45534311" w14:textId="77777777" w:rsidR="00C17C00" w:rsidRDefault="00C17C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ROP 2016 y ROP 2017</w:t>
            </w:r>
          </w:p>
        </w:tc>
        <w:tc>
          <w:tcPr>
            <w:tcW w:w="9935" w:type="dxa"/>
          </w:tcPr>
          <w:p w14:paraId="2640C209" w14:textId="7426476B" w:rsidR="00C17C00" w:rsidRPr="00EF788F" w:rsidRDefault="00C17C00" w:rsidP="00DE2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las Reglas de Operación 2016 y 2017 se ha mejorado la identificación de los componentes del programa y se esclarecieron los criterios de elegibilidad respecto a las ROP 2014.</w:t>
            </w:r>
            <w:r w:rsidR="00FC587A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D60111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Además,</w:t>
            </w:r>
            <w:r w:rsidR="00FC587A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agregó otra alinea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ción al PND 2013-2018</w:t>
            </w:r>
          </w:p>
        </w:tc>
      </w:tr>
      <w:tr w:rsidR="00F46D53" w14:paraId="25D398B0" w14:textId="77777777" w:rsidTr="00DE20F6">
        <w:trPr>
          <w:trHeight w:val="1230"/>
          <w:jc w:val="center"/>
        </w:trPr>
        <w:tc>
          <w:tcPr>
            <w:tcW w:w="2399" w:type="dxa"/>
          </w:tcPr>
          <w:p w14:paraId="209E9FB1" w14:textId="77777777" w:rsidR="00C17C00" w:rsidRDefault="00C17C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Informe de avance de indicadores para Cuenta Pública 2015</w:t>
            </w:r>
          </w:p>
        </w:tc>
        <w:tc>
          <w:tcPr>
            <w:tcW w:w="9935" w:type="dxa"/>
          </w:tcPr>
          <w:p w14:paraId="00610A45" w14:textId="2E0774DC" w:rsidR="00C17C00" w:rsidRPr="00EF788F" w:rsidRDefault="00C17C00" w:rsidP="00DE2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Para resolver la ASM "Existen mecanismos de rendición de cuentas" se </w:t>
            </w:r>
            <w:r w:rsidR="00D60111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plantea 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que el resultado sea el </w:t>
            </w:r>
            <w:r w:rsidR="00D60111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“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Informe de avance de indicadores para Cuenta Pública 2015</w:t>
            </w:r>
            <w:r w:rsidR="00D60111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”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D60111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No es claro que e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ste resultado </w:t>
            </w:r>
            <w:r w:rsidR="00D60111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de respuesta a esta ASM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D60111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Sin embargo, a través del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Informe General de Cuenta Pública 2015 y en el Estado Analítico del Ejercicio del Presupuesto de Egresos en Clasificación Funcional-Programática </w:t>
            </w:r>
            <w:r w:rsidR="00D60111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se muestra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9728C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la entrega de</w:t>
            </w:r>
            <w:r w:rsidR="00D60111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evidencia de esta rendición de cuentas 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respecto al Programa Nacional de Becas en su ejercicio 2015. </w:t>
            </w:r>
          </w:p>
        </w:tc>
      </w:tr>
      <w:tr w:rsidR="00F46D53" w14:paraId="44D613C0" w14:textId="77777777" w:rsidTr="00DE20F6">
        <w:trPr>
          <w:trHeight w:val="2254"/>
          <w:jc w:val="center"/>
        </w:trPr>
        <w:tc>
          <w:tcPr>
            <w:tcW w:w="2399" w:type="dxa"/>
          </w:tcPr>
          <w:p w14:paraId="41956471" w14:textId="77777777" w:rsidR="00C17C00" w:rsidRDefault="00C17C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Documento Diagnóstico</w:t>
            </w:r>
          </w:p>
        </w:tc>
        <w:tc>
          <w:tcPr>
            <w:tcW w:w="9935" w:type="dxa"/>
          </w:tcPr>
          <w:p w14:paraId="1B3B1660" w14:textId="7B8B85D3" w:rsidR="00C17C00" w:rsidRPr="00EF788F" w:rsidRDefault="00C17C00" w:rsidP="00DE2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el diagnóstico </w:t>
            </w:r>
            <w:r w:rsidR="00BD128B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2017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se ob</w:t>
            </w:r>
            <w:r w:rsidR="00BD128B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servan diversos resultados: a) s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e actualizó el presupuesto 2016 y la estimación del costo operativo d</w:t>
            </w:r>
            <w:r w:rsidR="00D60111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el programa para este mismo año;</w:t>
            </w:r>
            <w:r w:rsidR="00BD128B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b) e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xisten datos sobre la población potencial y objetivo 2016. Se cuantificó por Unidad Responsable, </w:t>
            </w:r>
            <w:r w:rsidR="00D60111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pero,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aunque se buscaba que las 19 unidades responsables identificaran la población potencial y objetivo, la Dirección General de Relaciones Internacionales (DGRI) no presentó estos datos. El dato sobre población objetivo general del programa no se ajusta a la suma de los datos presentados </w:t>
            </w:r>
            <w:r w:rsidR="00D60111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los cuadros del diagnóstico. 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Esta información en el </w:t>
            </w:r>
            <w:r w:rsidR="00D60111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diagnóstico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general responde a la mejora en la cuantifi</w:t>
            </w:r>
            <w:r w:rsidR="00D60111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cación de la población objetivo;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c)</w:t>
            </w:r>
            <w:r w:rsidR="00D60111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D128B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n el Diagnóstico no se aprecian</w:t>
            </w:r>
            <w:r w:rsidR="00D60111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los logros del programa;</w:t>
            </w:r>
            <w:r w:rsidR="00BD128B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d) e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 diagnóstico señala datos de poblaciones y presupuestos 2016 por lo que está actualizado para este ejercicio. Quizá sería importante incorporar los datos históricos en general, así se apreciaría la evolución en los datos esenciales del programa y su relación con la </w:t>
            </w:r>
            <w:r w:rsidR="00FC587A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información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actualizada. </w:t>
            </w:r>
          </w:p>
        </w:tc>
      </w:tr>
      <w:tr w:rsidR="00F46D53" w14:paraId="520D6FBC" w14:textId="77777777" w:rsidTr="00F46D53">
        <w:trPr>
          <w:trHeight w:val="1293"/>
          <w:jc w:val="center"/>
        </w:trPr>
        <w:tc>
          <w:tcPr>
            <w:tcW w:w="2399" w:type="dxa"/>
          </w:tcPr>
          <w:p w14:paraId="63C09366" w14:textId="77777777" w:rsidR="00C17C00" w:rsidRDefault="00C17C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Listado de becarias</w:t>
            </w:r>
          </w:p>
        </w:tc>
        <w:tc>
          <w:tcPr>
            <w:tcW w:w="9935" w:type="dxa"/>
          </w:tcPr>
          <w:p w14:paraId="6DE3AA69" w14:textId="39D1ED57" w:rsidR="00C17C00" w:rsidRPr="00EF788F" w:rsidRDefault="00C17C00" w:rsidP="00DE2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 identificó que existe complementariedad en 3,243 casos de beneficiarias que reciben la Beca de Apoyo a la Educación Básica de Madres Jóvenes y Embarazadas del PNB y los apoyos del Programa de Inclusión Social Prospera. Esta evidencia se muestra a través del Oficio DGLP/118/2017 mediante el cual la Dirección General de Padrón y Liquidación de la Coordinación Nacional del Programa Prospera notifica a </w:t>
            </w:r>
            <w:r w:rsidR="00D60111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Dirección General de Educación Indígena los resultados de la confronta de padrones. </w:t>
            </w:r>
          </w:p>
        </w:tc>
      </w:tr>
      <w:tr w:rsidR="00F46D53" w14:paraId="476023CD" w14:textId="77777777" w:rsidTr="00F46D53">
        <w:trPr>
          <w:trHeight w:val="777"/>
          <w:jc w:val="center"/>
        </w:trPr>
        <w:tc>
          <w:tcPr>
            <w:tcW w:w="2399" w:type="dxa"/>
          </w:tcPr>
          <w:p w14:paraId="68846738" w14:textId="77777777" w:rsidR="00C17C00" w:rsidRDefault="00C17C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Padrón Actualizado</w:t>
            </w:r>
          </w:p>
        </w:tc>
        <w:tc>
          <w:tcPr>
            <w:tcW w:w="9935" w:type="dxa"/>
          </w:tcPr>
          <w:p w14:paraId="3A78CD13" w14:textId="790374AD" w:rsidR="00C17C00" w:rsidRPr="00EF788F" w:rsidRDefault="00C17C00" w:rsidP="00DE2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Aunque se señaló que la actualización del padrón </w:t>
            </w:r>
            <w:r w:rsidR="00FC587A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de beneficiarios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Programa se reflejaría en el documento diagnóstico (ligas de consulta por UR con campos en común</w:t>
            </w:r>
            <w:r w:rsidR="00FC587A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), sólo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incluyen siete enlaces a padrones de beneficiarios del Programa (41%). Uno de estos enlaces está roto. De ahí que los resultados de este ASM no se </w:t>
            </w:r>
            <w:r w:rsidR="001D49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han 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logrado del todo. </w:t>
            </w:r>
          </w:p>
        </w:tc>
      </w:tr>
      <w:tr w:rsidR="00F46D53" w14:paraId="72E2FD5F" w14:textId="77777777" w:rsidTr="00F46D53">
        <w:trPr>
          <w:trHeight w:val="840"/>
          <w:jc w:val="center"/>
        </w:trPr>
        <w:tc>
          <w:tcPr>
            <w:tcW w:w="2399" w:type="dxa"/>
          </w:tcPr>
          <w:p w14:paraId="7F9849B3" w14:textId="77777777" w:rsidR="00C17C00" w:rsidRDefault="00C17C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Plantilla de población atendida con los criterios solicitados (grupos de edad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y desagregación geográfica municipal y localidad)</w:t>
            </w:r>
          </w:p>
        </w:tc>
        <w:tc>
          <w:tcPr>
            <w:tcW w:w="9935" w:type="dxa"/>
          </w:tcPr>
          <w:p w14:paraId="105047E6" w14:textId="0A3EFF80" w:rsidR="00C17C00" w:rsidRPr="00EF788F" w:rsidRDefault="00C17C00" w:rsidP="001D49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Mejora de la plantilla de población atendida. </w:t>
            </w:r>
            <w:r w:rsidR="001D4979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ara tal fin se puede utilizar la plantilla de población atendida de CONEVAL.</w:t>
            </w:r>
          </w:p>
        </w:tc>
      </w:tr>
      <w:tr w:rsidR="00F46D53" w14:paraId="50A0FDA0" w14:textId="77777777" w:rsidTr="00F46D53">
        <w:trPr>
          <w:trHeight w:val="840"/>
          <w:jc w:val="center"/>
        </w:trPr>
        <w:tc>
          <w:tcPr>
            <w:tcW w:w="2399" w:type="dxa"/>
          </w:tcPr>
          <w:p w14:paraId="091F15E8" w14:textId="77777777" w:rsidR="00C17C00" w:rsidRPr="001B4CBF" w:rsidRDefault="00C17C0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Reportes estadísticos</w:t>
            </w:r>
          </w:p>
        </w:tc>
        <w:tc>
          <w:tcPr>
            <w:tcW w:w="9935" w:type="dxa"/>
          </w:tcPr>
          <w:p w14:paraId="08982A72" w14:textId="77FE2943" w:rsidR="00C17C00" w:rsidRPr="00EF788F" w:rsidRDefault="00EF78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Aunque hay información estadística a nivel general en las diferentes UR, no se</w:t>
            </w:r>
            <w:r w:rsidR="00C17C00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han presentado los logros del Programa Nacional de Becas en el portal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electrónico y</w:t>
            </w:r>
            <w:r w:rsidR="00C17C00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 información de los padrones es heterogénea entre las unidades </w:t>
            </w:r>
            <w:r w:rsidR="00D60111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>responsables.</w:t>
            </w:r>
          </w:p>
        </w:tc>
      </w:tr>
      <w:tr w:rsidR="00F46D53" w14:paraId="7C76215A" w14:textId="77777777" w:rsidTr="00F46D53">
        <w:trPr>
          <w:trHeight w:val="280"/>
          <w:jc w:val="center"/>
        </w:trPr>
        <w:tc>
          <w:tcPr>
            <w:tcW w:w="2399" w:type="dxa"/>
          </w:tcPr>
          <w:p w14:paraId="26772BF0" w14:textId="77777777" w:rsidR="00FC587A" w:rsidRDefault="00FC587A" w:rsidP="005B53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MIR 2018</w:t>
            </w:r>
          </w:p>
        </w:tc>
        <w:tc>
          <w:tcPr>
            <w:tcW w:w="9935" w:type="dxa"/>
          </w:tcPr>
          <w:p w14:paraId="44DD64F0" w14:textId="683FA6EA" w:rsidR="00FC587A" w:rsidRPr="00EF788F" w:rsidRDefault="006A7FC0" w:rsidP="005B53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Ya se cuenta con la MIR 2018 </w:t>
            </w:r>
            <w:r w:rsidR="004F0373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 metas que pueden derivar en una </w:t>
            </w:r>
            <w:r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comparación </w:t>
            </w:r>
            <w:r w:rsidR="00F7448B" w:rsidRPr="00EF788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metas sexenales a nivel Propósito y Componente como lo planteado en las recomendaciones. </w:t>
            </w:r>
          </w:p>
        </w:tc>
      </w:tr>
    </w:tbl>
    <w:p w14:paraId="1F5C201D" w14:textId="77777777" w:rsidR="00F473D7" w:rsidRDefault="00F473D7" w:rsidP="00284560">
      <w:pPr>
        <w:spacing w:line="276" w:lineRule="auto"/>
        <w:ind w:right="51"/>
        <w:rPr>
          <w:rFonts w:ascii="Century Gothic" w:hAnsi="Century Gothic" w:cs="Arial"/>
          <w:b/>
          <w:iCs/>
          <w:szCs w:val="22"/>
          <w:lang w:val="es-MX"/>
        </w:rPr>
      </w:pPr>
    </w:p>
    <w:p w14:paraId="72E1CD43" w14:textId="18AB555F" w:rsidR="00F46D53" w:rsidRDefault="00F46D53" w:rsidP="00DF0E99">
      <w:pPr>
        <w:rPr>
          <w:rFonts w:ascii="Century Gothic" w:hAnsi="Century Gothic" w:cs="Arial"/>
          <w:b/>
          <w:iCs/>
          <w:szCs w:val="22"/>
          <w:lang w:val="es-MX"/>
        </w:rPr>
      </w:pPr>
    </w:p>
    <w:p w14:paraId="5B8C803E" w14:textId="3820C2EF" w:rsidR="00F46D53" w:rsidRDefault="00F46D53">
      <w:pPr>
        <w:rPr>
          <w:rFonts w:ascii="Century Gothic" w:hAnsi="Century Gothic" w:cs="Arial"/>
          <w:b/>
          <w:iCs/>
          <w:szCs w:val="22"/>
          <w:lang w:val="es-MX"/>
        </w:rPr>
      </w:pPr>
      <w:r>
        <w:rPr>
          <w:rFonts w:ascii="Century Gothic" w:hAnsi="Century Gothic" w:cs="Arial"/>
          <w:b/>
          <w:iCs/>
          <w:szCs w:val="22"/>
          <w:lang w:val="es-MX"/>
        </w:rPr>
        <w:br w:type="page"/>
      </w:r>
    </w:p>
    <w:sectPr w:rsidR="00F46D53" w:rsidSect="006B40E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6609"/>
    <w:multiLevelType w:val="hybridMultilevel"/>
    <w:tmpl w:val="6AD839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D5617"/>
    <w:multiLevelType w:val="hybridMultilevel"/>
    <w:tmpl w:val="E28A8A86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4B21AB3"/>
    <w:multiLevelType w:val="hybridMultilevel"/>
    <w:tmpl w:val="D99AAAB4"/>
    <w:lvl w:ilvl="0" w:tplc="0C0A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FE"/>
    <w:rsid w:val="00053164"/>
    <w:rsid w:val="0006342C"/>
    <w:rsid w:val="000836F0"/>
    <w:rsid w:val="000921CB"/>
    <w:rsid w:val="00092E2D"/>
    <w:rsid w:val="000C08B2"/>
    <w:rsid w:val="000C7504"/>
    <w:rsid w:val="000F3223"/>
    <w:rsid w:val="00102038"/>
    <w:rsid w:val="00105CCD"/>
    <w:rsid w:val="00124149"/>
    <w:rsid w:val="00164531"/>
    <w:rsid w:val="00176F8E"/>
    <w:rsid w:val="001B4CBF"/>
    <w:rsid w:val="001D4979"/>
    <w:rsid w:val="001E6158"/>
    <w:rsid w:val="002248E4"/>
    <w:rsid w:val="00262FEA"/>
    <w:rsid w:val="00273281"/>
    <w:rsid w:val="00284560"/>
    <w:rsid w:val="002C04F9"/>
    <w:rsid w:val="002C7F44"/>
    <w:rsid w:val="002E405E"/>
    <w:rsid w:val="003066C6"/>
    <w:rsid w:val="003102AF"/>
    <w:rsid w:val="003145C8"/>
    <w:rsid w:val="00317313"/>
    <w:rsid w:val="00333807"/>
    <w:rsid w:val="00352E20"/>
    <w:rsid w:val="003666A8"/>
    <w:rsid w:val="003A5A14"/>
    <w:rsid w:val="003D43E9"/>
    <w:rsid w:val="0045161C"/>
    <w:rsid w:val="00483143"/>
    <w:rsid w:val="004866C3"/>
    <w:rsid w:val="00487266"/>
    <w:rsid w:val="004A1439"/>
    <w:rsid w:val="004C745D"/>
    <w:rsid w:val="004F0373"/>
    <w:rsid w:val="005000E3"/>
    <w:rsid w:val="00571A78"/>
    <w:rsid w:val="005816FF"/>
    <w:rsid w:val="005B5309"/>
    <w:rsid w:val="005C7E9A"/>
    <w:rsid w:val="006266F4"/>
    <w:rsid w:val="00627E6D"/>
    <w:rsid w:val="00644507"/>
    <w:rsid w:val="006561BD"/>
    <w:rsid w:val="006A7FC0"/>
    <w:rsid w:val="006B40E7"/>
    <w:rsid w:val="00701CBA"/>
    <w:rsid w:val="00723CD1"/>
    <w:rsid w:val="0076590F"/>
    <w:rsid w:val="007779C4"/>
    <w:rsid w:val="00783DCC"/>
    <w:rsid w:val="007A50D9"/>
    <w:rsid w:val="007E59A9"/>
    <w:rsid w:val="007F539F"/>
    <w:rsid w:val="008172D9"/>
    <w:rsid w:val="00824BDE"/>
    <w:rsid w:val="008435DB"/>
    <w:rsid w:val="0086675F"/>
    <w:rsid w:val="008F1624"/>
    <w:rsid w:val="009071FA"/>
    <w:rsid w:val="0094007D"/>
    <w:rsid w:val="009520EB"/>
    <w:rsid w:val="00965474"/>
    <w:rsid w:val="00967A93"/>
    <w:rsid w:val="009B1F2C"/>
    <w:rsid w:val="009C589B"/>
    <w:rsid w:val="009F1CC4"/>
    <w:rsid w:val="00A03746"/>
    <w:rsid w:val="00A30950"/>
    <w:rsid w:val="00A83AFE"/>
    <w:rsid w:val="00A869BC"/>
    <w:rsid w:val="00A94A7F"/>
    <w:rsid w:val="00B06DE2"/>
    <w:rsid w:val="00B55ADA"/>
    <w:rsid w:val="00BD128B"/>
    <w:rsid w:val="00BD5E41"/>
    <w:rsid w:val="00BE3087"/>
    <w:rsid w:val="00BF25AF"/>
    <w:rsid w:val="00C17C00"/>
    <w:rsid w:val="00C4510F"/>
    <w:rsid w:val="00CB0B79"/>
    <w:rsid w:val="00CB3F16"/>
    <w:rsid w:val="00CC75EC"/>
    <w:rsid w:val="00CD35F9"/>
    <w:rsid w:val="00D60111"/>
    <w:rsid w:val="00D75317"/>
    <w:rsid w:val="00DE20F6"/>
    <w:rsid w:val="00DF0E99"/>
    <w:rsid w:val="00DF4543"/>
    <w:rsid w:val="00E11F55"/>
    <w:rsid w:val="00E67C95"/>
    <w:rsid w:val="00E95DE7"/>
    <w:rsid w:val="00E9728C"/>
    <w:rsid w:val="00EA48A3"/>
    <w:rsid w:val="00ED2B76"/>
    <w:rsid w:val="00EF788F"/>
    <w:rsid w:val="00F03EB5"/>
    <w:rsid w:val="00F46D53"/>
    <w:rsid w:val="00F473D7"/>
    <w:rsid w:val="00F56AB8"/>
    <w:rsid w:val="00F7448B"/>
    <w:rsid w:val="00F84940"/>
    <w:rsid w:val="00FC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79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C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4 Párrafo de lista,Figuras,Dot pt,No Spacing1,List Paragraph Char Char Char,Indicator Text,List Paragraph1,Numbered Para 1,DH1,Listas,lp1,Light Grid - Accent 31,Párrafo Título 3"/>
    <w:basedOn w:val="Normal"/>
    <w:link w:val="PrrafodelistaCar"/>
    <w:uiPriority w:val="34"/>
    <w:qFormat/>
    <w:rsid w:val="00A83AFE"/>
    <w:pPr>
      <w:ind w:left="720"/>
      <w:contextualSpacing/>
    </w:pPr>
    <w:rPr>
      <w:rFonts w:ascii="Times" w:eastAsia="Times" w:hAnsi="Times" w:cs="Times New Roman"/>
      <w:szCs w:val="20"/>
      <w:lang w:eastAsia="es-ES"/>
    </w:rPr>
  </w:style>
  <w:style w:type="character" w:customStyle="1" w:styleId="PrrafodelistaCar">
    <w:name w:val="Párrafo de lista Car"/>
    <w:aliases w:val="4 Párrafo de lista Car,Figuras Car,Dot pt Car,No Spacing1 Car,List Paragraph Char Char Char Car,Indicator Text Car,List Paragraph1 Car,Numbered Para 1 Car,DH1 Car,Listas Car,lp1 Car,Light Grid - Accent 31 Car,Párrafo Título 3 Car"/>
    <w:link w:val="Prrafodelista"/>
    <w:uiPriority w:val="34"/>
    <w:rsid w:val="00A83AFE"/>
    <w:rPr>
      <w:rFonts w:ascii="Times" w:eastAsia="Times" w:hAnsi="Times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DA8D4E35-F4BE-4359-89F7-3F19DE3D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Nélyda Solana Villanueva</dc:creator>
  <cp:keywords/>
  <dc:description/>
  <cp:lastModifiedBy>Usuario de Windows</cp:lastModifiedBy>
  <cp:revision>2</cp:revision>
  <dcterms:created xsi:type="dcterms:W3CDTF">2018-08-10T15:17:00Z</dcterms:created>
  <dcterms:modified xsi:type="dcterms:W3CDTF">2018-08-10T15:17:00Z</dcterms:modified>
</cp:coreProperties>
</file>