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61A52" w14:textId="77777777" w:rsidR="00262FEA" w:rsidRPr="00262FEA" w:rsidRDefault="00262FEA" w:rsidP="00262FE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eastAsia="Times New Roman" w:hAnsi="Century Gothic" w:cs="Arial"/>
          <w:sz w:val="18"/>
          <w:szCs w:val="18"/>
          <w:lang w:val="es-MX" w:eastAsia="es-MX"/>
        </w:rPr>
      </w:pPr>
      <w:bookmarkStart w:id="0" w:name="_GoBack"/>
      <w:bookmarkEnd w:id="0"/>
    </w:p>
    <w:p w14:paraId="416E38D0" w14:textId="282028D3" w:rsidR="00BE3087" w:rsidRDefault="00783DCC" w:rsidP="00783DCC">
      <w:pPr>
        <w:pStyle w:val="Prrafodelista"/>
        <w:spacing w:line="276" w:lineRule="auto"/>
        <w:ind w:left="1440" w:right="51"/>
        <w:jc w:val="center"/>
        <w:outlineLvl w:val="0"/>
        <w:rPr>
          <w:rFonts w:ascii="Century Gothic" w:hAnsi="Century Gothic" w:cs="Arial"/>
          <w:b/>
          <w:bCs/>
          <w:color w:val="000000"/>
          <w:sz w:val="22"/>
          <w:szCs w:val="22"/>
          <w:lang w:val="es-MX"/>
        </w:rPr>
      </w:pPr>
      <w:r w:rsidRPr="00783DCC">
        <w:rPr>
          <w:rFonts w:ascii="Century Gothic" w:hAnsi="Century Gothic" w:cs="Arial"/>
          <w:b/>
          <w:bCs/>
          <w:color w:val="000000"/>
          <w:sz w:val="22"/>
          <w:szCs w:val="22"/>
          <w:lang w:val="es-MX"/>
        </w:rPr>
        <w:t xml:space="preserve">Anexo 8 </w:t>
      </w:r>
      <w:r w:rsidR="00BE3087" w:rsidRPr="00783DCC">
        <w:rPr>
          <w:rFonts w:ascii="Century Gothic" w:hAnsi="Century Gothic" w:cs="Arial"/>
          <w:b/>
          <w:bCs/>
          <w:color w:val="000000"/>
          <w:sz w:val="22"/>
          <w:szCs w:val="22"/>
          <w:lang w:val="es-MX"/>
        </w:rPr>
        <w:t>Resultado de las acciones para atender los as</w:t>
      </w:r>
      <w:r w:rsidRPr="00783DCC">
        <w:rPr>
          <w:rFonts w:ascii="Century Gothic" w:hAnsi="Century Gothic" w:cs="Arial"/>
          <w:b/>
          <w:bCs/>
          <w:color w:val="000000"/>
          <w:sz w:val="22"/>
          <w:szCs w:val="22"/>
          <w:lang w:val="es-MX"/>
        </w:rPr>
        <w:t>pectos susceptibles de mejora</w:t>
      </w:r>
    </w:p>
    <w:p w14:paraId="74CAF087" w14:textId="77777777" w:rsidR="00783DCC" w:rsidRPr="00783DCC" w:rsidRDefault="00783DCC" w:rsidP="00783DCC">
      <w:pPr>
        <w:pStyle w:val="Prrafodelista"/>
        <w:spacing w:line="276" w:lineRule="auto"/>
        <w:ind w:left="1440" w:right="51"/>
        <w:jc w:val="center"/>
        <w:outlineLvl w:val="0"/>
        <w:rPr>
          <w:rFonts w:ascii="Century Gothic" w:hAnsi="Century Gothic" w:cs="Arial"/>
          <w:b/>
          <w:bCs/>
          <w:color w:val="000000"/>
          <w:sz w:val="22"/>
          <w:szCs w:val="22"/>
          <w:lang w:val="es-MX"/>
        </w:rPr>
      </w:pPr>
    </w:p>
    <w:tbl>
      <w:tblPr>
        <w:tblW w:w="5301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6"/>
        <w:gridCol w:w="2555"/>
      </w:tblGrid>
      <w:tr w:rsidR="00783DCC" w:rsidRPr="003A5A14" w14:paraId="107BE6CD" w14:textId="77777777" w:rsidTr="00DE20F6">
        <w:trPr>
          <w:trHeight w:val="63"/>
        </w:trPr>
        <w:tc>
          <w:tcPr>
            <w:tcW w:w="2746" w:type="dxa"/>
            <w:shd w:val="clear" w:color="auto" w:fill="auto"/>
            <w:noWrap/>
            <w:vAlign w:val="bottom"/>
            <w:hideMark/>
          </w:tcPr>
          <w:p w14:paraId="795B2C66" w14:textId="77777777" w:rsidR="00783DCC" w:rsidRPr="008B5B74" w:rsidRDefault="00783DCC" w:rsidP="00DE20F6">
            <w:pPr>
              <w:rPr>
                <w:rFonts w:ascii="Century Gothic" w:hAnsi="Century Gothic" w:cs="Arial"/>
                <w:bCs/>
                <w:color w:val="000000"/>
                <w:sz w:val="16"/>
                <w:szCs w:val="16"/>
                <w:lang w:val="es-MX"/>
              </w:rPr>
            </w:pPr>
            <w:r w:rsidRPr="008B5B74">
              <w:rPr>
                <w:rFonts w:ascii="Century Gothic" w:hAnsi="Century Gothic" w:cs="Arial"/>
                <w:bCs/>
                <w:color w:val="000000"/>
                <w:sz w:val="16"/>
                <w:szCs w:val="16"/>
                <w:lang w:val="es-MX"/>
              </w:rPr>
              <w:t>Nombre del Programa:</w:t>
            </w:r>
          </w:p>
        </w:tc>
        <w:tc>
          <w:tcPr>
            <w:tcW w:w="2555" w:type="dxa"/>
            <w:shd w:val="clear" w:color="auto" w:fill="auto"/>
          </w:tcPr>
          <w:p w14:paraId="39C332AD" w14:textId="77777777" w:rsidR="00783DCC" w:rsidRPr="003A5A14" w:rsidRDefault="00783DCC" w:rsidP="00DE20F6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3A5A14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MX"/>
              </w:rPr>
              <w:t>Programa Nacional de Becas</w:t>
            </w:r>
          </w:p>
        </w:tc>
      </w:tr>
      <w:tr w:rsidR="00783DCC" w:rsidRPr="003A5A14" w14:paraId="6A591458" w14:textId="77777777" w:rsidTr="00DE20F6">
        <w:trPr>
          <w:trHeight w:val="149"/>
        </w:trPr>
        <w:tc>
          <w:tcPr>
            <w:tcW w:w="2746" w:type="dxa"/>
            <w:shd w:val="clear" w:color="auto" w:fill="auto"/>
            <w:noWrap/>
            <w:vAlign w:val="bottom"/>
            <w:hideMark/>
          </w:tcPr>
          <w:p w14:paraId="7C51F2AD" w14:textId="77777777" w:rsidR="00783DCC" w:rsidRPr="008B5B74" w:rsidRDefault="00783DCC" w:rsidP="00DE20F6">
            <w:pPr>
              <w:rPr>
                <w:rFonts w:ascii="Century Gothic" w:hAnsi="Century Gothic" w:cs="Arial"/>
                <w:bCs/>
                <w:color w:val="000000"/>
                <w:sz w:val="16"/>
                <w:szCs w:val="16"/>
                <w:lang w:val="es-MX"/>
              </w:rPr>
            </w:pPr>
            <w:r w:rsidRPr="008B5B74">
              <w:rPr>
                <w:rFonts w:ascii="Century Gothic" w:hAnsi="Century Gothic" w:cs="Arial"/>
                <w:bCs/>
                <w:color w:val="000000"/>
                <w:sz w:val="16"/>
                <w:szCs w:val="16"/>
                <w:lang w:val="es-MX"/>
              </w:rPr>
              <w:t>Modalidad:</w:t>
            </w:r>
          </w:p>
        </w:tc>
        <w:tc>
          <w:tcPr>
            <w:tcW w:w="2555" w:type="dxa"/>
            <w:shd w:val="clear" w:color="auto" w:fill="auto"/>
          </w:tcPr>
          <w:p w14:paraId="6ED7DD7E" w14:textId="77777777" w:rsidR="00783DCC" w:rsidRPr="003A5A14" w:rsidRDefault="00783DCC" w:rsidP="00DE20F6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3A5A14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MX"/>
              </w:rPr>
              <w:t>S243</w:t>
            </w:r>
          </w:p>
        </w:tc>
      </w:tr>
      <w:tr w:rsidR="00783DCC" w:rsidRPr="003A5A14" w14:paraId="41CC2F23" w14:textId="77777777" w:rsidTr="00DE20F6">
        <w:trPr>
          <w:trHeight w:val="81"/>
        </w:trPr>
        <w:tc>
          <w:tcPr>
            <w:tcW w:w="2746" w:type="dxa"/>
            <w:shd w:val="clear" w:color="auto" w:fill="auto"/>
            <w:noWrap/>
            <w:vAlign w:val="bottom"/>
            <w:hideMark/>
          </w:tcPr>
          <w:p w14:paraId="766E719F" w14:textId="77777777" w:rsidR="00783DCC" w:rsidRPr="008B5B74" w:rsidRDefault="00783DCC" w:rsidP="00DE20F6">
            <w:pPr>
              <w:rPr>
                <w:rFonts w:ascii="Century Gothic" w:hAnsi="Century Gothic" w:cs="Arial"/>
                <w:bCs/>
                <w:color w:val="000000"/>
                <w:sz w:val="16"/>
                <w:szCs w:val="16"/>
                <w:lang w:val="es-MX"/>
              </w:rPr>
            </w:pPr>
            <w:r w:rsidRPr="008B5B74">
              <w:rPr>
                <w:rFonts w:ascii="Century Gothic" w:hAnsi="Century Gothic" w:cs="Arial"/>
                <w:bCs/>
                <w:color w:val="000000"/>
                <w:sz w:val="16"/>
                <w:szCs w:val="16"/>
                <w:lang w:val="es-MX"/>
              </w:rPr>
              <w:t>Dependencia/Entidad:</w:t>
            </w:r>
          </w:p>
        </w:tc>
        <w:tc>
          <w:tcPr>
            <w:tcW w:w="2555" w:type="dxa"/>
            <w:shd w:val="clear" w:color="auto" w:fill="auto"/>
          </w:tcPr>
          <w:p w14:paraId="0609D20F" w14:textId="77777777" w:rsidR="00783DCC" w:rsidRPr="003A5A14" w:rsidRDefault="00783DCC" w:rsidP="00DE20F6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3A5A14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MX"/>
              </w:rPr>
              <w:t>SEP</w:t>
            </w:r>
          </w:p>
        </w:tc>
      </w:tr>
      <w:tr w:rsidR="00783DCC" w:rsidRPr="003A5A14" w14:paraId="2340EEEC" w14:textId="77777777" w:rsidTr="00DE20F6">
        <w:trPr>
          <w:trHeight w:val="154"/>
        </w:trPr>
        <w:tc>
          <w:tcPr>
            <w:tcW w:w="2746" w:type="dxa"/>
            <w:shd w:val="clear" w:color="auto" w:fill="auto"/>
            <w:noWrap/>
            <w:vAlign w:val="bottom"/>
            <w:hideMark/>
          </w:tcPr>
          <w:p w14:paraId="51393991" w14:textId="77777777" w:rsidR="00783DCC" w:rsidRPr="008B5B74" w:rsidRDefault="00783DCC" w:rsidP="00DE20F6">
            <w:pPr>
              <w:rPr>
                <w:rFonts w:ascii="Century Gothic" w:hAnsi="Century Gothic" w:cs="Arial"/>
                <w:bCs/>
                <w:color w:val="000000"/>
                <w:sz w:val="16"/>
                <w:szCs w:val="16"/>
                <w:lang w:val="es-MX"/>
              </w:rPr>
            </w:pPr>
            <w:r w:rsidRPr="008B5B74">
              <w:rPr>
                <w:rFonts w:ascii="Century Gothic" w:hAnsi="Century Gothic" w:cs="Arial"/>
                <w:bCs/>
                <w:color w:val="000000"/>
                <w:sz w:val="16"/>
                <w:szCs w:val="16"/>
                <w:lang w:val="es-MX"/>
              </w:rPr>
              <w:t>Unidad Responsable:</w:t>
            </w:r>
          </w:p>
        </w:tc>
        <w:tc>
          <w:tcPr>
            <w:tcW w:w="2555" w:type="dxa"/>
            <w:shd w:val="clear" w:color="auto" w:fill="auto"/>
          </w:tcPr>
          <w:p w14:paraId="1B624014" w14:textId="77777777" w:rsidR="00783DCC" w:rsidRPr="003A5A14" w:rsidRDefault="00783DCC" w:rsidP="00DE20F6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</w:tr>
      <w:tr w:rsidR="00783DCC" w:rsidRPr="003A5A14" w14:paraId="167C6EF9" w14:textId="77777777" w:rsidTr="00DE20F6">
        <w:trPr>
          <w:trHeight w:val="87"/>
        </w:trPr>
        <w:tc>
          <w:tcPr>
            <w:tcW w:w="2746" w:type="dxa"/>
            <w:shd w:val="clear" w:color="auto" w:fill="auto"/>
            <w:noWrap/>
            <w:vAlign w:val="bottom"/>
            <w:hideMark/>
          </w:tcPr>
          <w:p w14:paraId="0D1A9B4B" w14:textId="77777777" w:rsidR="00783DCC" w:rsidRPr="008B5B74" w:rsidRDefault="00783DCC" w:rsidP="00DE20F6">
            <w:pPr>
              <w:rPr>
                <w:rFonts w:ascii="Century Gothic" w:hAnsi="Century Gothic" w:cs="Arial"/>
                <w:bCs/>
                <w:color w:val="000000"/>
                <w:sz w:val="16"/>
                <w:szCs w:val="16"/>
                <w:lang w:val="es-MX"/>
              </w:rPr>
            </w:pPr>
            <w:r w:rsidRPr="008B5B74">
              <w:rPr>
                <w:rFonts w:ascii="Century Gothic" w:hAnsi="Century Gothic" w:cs="Arial"/>
                <w:bCs/>
                <w:color w:val="000000"/>
                <w:sz w:val="16"/>
                <w:szCs w:val="16"/>
                <w:lang w:val="es-MX"/>
              </w:rPr>
              <w:t>Tipo de Evaluación:</w:t>
            </w:r>
          </w:p>
        </w:tc>
        <w:tc>
          <w:tcPr>
            <w:tcW w:w="2555" w:type="dxa"/>
            <w:shd w:val="clear" w:color="auto" w:fill="auto"/>
          </w:tcPr>
          <w:p w14:paraId="50C451A1" w14:textId="77777777" w:rsidR="00783DCC" w:rsidRPr="003A5A14" w:rsidRDefault="00783DCC" w:rsidP="00DE20F6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3A5A14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MX"/>
              </w:rPr>
              <w:t>Evaluación de Consistencia y Resultados</w:t>
            </w:r>
          </w:p>
        </w:tc>
      </w:tr>
      <w:tr w:rsidR="00783DCC" w:rsidRPr="003A5A14" w14:paraId="61F8D4EC" w14:textId="77777777" w:rsidTr="00DE20F6">
        <w:trPr>
          <w:trHeight w:val="175"/>
        </w:trPr>
        <w:tc>
          <w:tcPr>
            <w:tcW w:w="2746" w:type="dxa"/>
            <w:shd w:val="clear" w:color="auto" w:fill="auto"/>
            <w:noWrap/>
            <w:vAlign w:val="bottom"/>
            <w:hideMark/>
          </w:tcPr>
          <w:p w14:paraId="3EBA05FF" w14:textId="77777777" w:rsidR="00783DCC" w:rsidRPr="008B5B74" w:rsidRDefault="00783DCC" w:rsidP="00DE20F6">
            <w:pPr>
              <w:rPr>
                <w:rFonts w:ascii="Century Gothic" w:hAnsi="Century Gothic" w:cs="Arial"/>
                <w:bCs/>
                <w:color w:val="000000"/>
                <w:sz w:val="16"/>
                <w:szCs w:val="16"/>
                <w:lang w:val="es-MX"/>
              </w:rPr>
            </w:pPr>
            <w:r w:rsidRPr="008B5B74">
              <w:rPr>
                <w:rFonts w:ascii="Century Gothic" w:hAnsi="Century Gothic" w:cs="Arial"/>
                <w:bCs/>
                <w:color w:val="000000"/>
                <w:sz w:val="16"/>
                <w:szCs w:val="16"/>
                <w:lang w:val="es-MX"/>
              </w:rPr>
              <w:t>Año de la Evaluación:</w:t>
            </w:r>
          </w:p>
        </w:tc>
        <w:tc>
          <w:tcPr>
            <w:tcW w:w="2555" w:type="dxa"/>
            <w:shd w:val="clear" w:color="auto" w:fill="auto"/>
          </w:tcPr>
          <w:p w14:paraId="0184E2AE" w14:textId="77777777" w:rsidR="00783DCC" w:rsidRPr="003A5A14" w:rsidRDefault="00783DCC" w:rsidP="00DE20F6">
            <w:pP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3A5A14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MX"/>
              </w:rPr>
              <w:t>2017</w:t>
            </w:r>
          </w:p>
        </w:tc>
      </w:tr>
    </w:tbl>
    <w:p w14:paraId="0705820F" w14:textId="14984E15" w:rsidR="00783DCC" w:rsidRDefault="00783DCC" w:rsidP="00284560">
      <w:pPr>
        <w:spacing w:line="276" w:lineRule="auto"/>
        <w:ind w:right="51"/>
        <w:rPr>
          <w:rFonts w:ascii="Century Gothic" w:hAnsi="Century Gothic" w:cs="Arial"/>
          <w:b/>
          <w:iCs/>
          <w:szCs w:val="22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9935"/>
      </w:tblGrid>
      <w:tr w:rsidR="00C17C00" w:rsidRPr="00C17C00" w14:paraId="45A72720" w14:textId="77777777" w:rsidTr="00F46D53">
        <w:trPr>
          <w:trHeight w:val="280"/>
          <w:jc w:val="center"/>
        </w:trPr>
        <w:tc>
          <w:tcPr>
            <w:tcW w:w="2399" w:type="dxa"/>
            <w:shd w:val="clear" w:color="auto" w:fill="4472C4" w:themeFill="accent1"/>
          </w:tcPr>
          <w:p w14:paraId="5A54C783" w14:textId="77777777" w:rsidR="00C17C00" w:rsidRPr="00C17C00" w:rsidRDefault="00C17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C17C0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Producto</w:t>
            </w:r>
          </w:p>
        </w:tc>
        <w:tc>
          <w:tcPr>
            <w:tcW w:w="9935" w:type="dxa"/>
            <w:shd w:val="clear" w:color="auto" w:fill="4472C4" w:themeFill="accent1"/>
          </w:tcPr>
          <w:p w14:paraId="0176CD1B" w14:textId="77777777" w:rsidR="00C17C00" w:rsidRPr="00C17C00" w:rsidRDefault="00C17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C17C0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Resultados</w:t>
            </w:r>
          </w:p>
        </w:tc>
      </w:tr>
      <w:tr w:rsidR="00F46D53" w14:paraId="35096ACE" w14:textId="77777777" w:rsidTr="00F46D53">
        <w:trPr>
          <w:trHeight w:val="763"/>
          <w:jc w:val="center"/>
        </w:trPr>
        <w:tc>
          <w:tcPr>
            <w:tcW w:w="2399" w:type="dxa"/>
          </w:tcPr>
          <w:p w14:paraId="3894D7CF" w14:textId="77777777" w:rsidR="00C17C00" w:rsidRDefault="00C17C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MIR 2016</w:t>
            </w:r>
          </w:p>
        </w:tc>
        <w:tc>
          <w:tcPr>
            <w:tcW w:w="9935" w:type="dxa"/>
          </w:tcPr>
          <w:p w14:paraId="4127F5B1" w14:textId="1CBE5593" w:rsidR="00C17C00" w:rsidRDefault="00C17C00" w:rsidP="00DE20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Respecto a la MIR 2014 se ha mejorado</w:t>
            </w:r>
            <w:r w:rsidR="00D6011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manera general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 MIR del programa. En la MIR 2017 se identifica el problema, se han reflejado cambios en la población objetivo, se ha mejorado el </w:t>
            </w:r>
            <w:r w:rsidR="00FC587A">
              <w:rPr>
                <w:rFonts w:ascii="Calibri" w:hAnsi="Calibri" w:cs="Calibri"/>
                <w:color w:val="000000"/>
                <w:sz w:val="20"/>
                <w:szCs w:val="20"/>
              </w:rPr>
              <w:t>propósito, se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han definido los bienes del programa, se han esclarecido los procesos de operación de las diversos tipos de becas y las actividades son más claras.</w:t>
            </w:r>
          </w:p>
        </w:tc>
      </w:tr>
      <w:tr w:rsidR="00F46D53" w14:paraId="1D60AB76" w14:textId="77777777" w:rsidTr="00F46D53">
        <w:trPr>
          <w:trHeight w:val="595"/>
          <w:jc w:val="center"/>
        </w:trPr>
        <w:tc>
          <w:tcPr>
            <w:tcW w:w="2399" w:type="dxa"/>
          </w:tcPr>
          <w:p w14:paraId="45534311" w14:textId="77777777" w:rsidR="00C17C00" w:rsidRDefault="00C17C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ROP 2016 y ROP 2017</w:t>
            </w:r>
          </w:p>
        </w:tc>
        <w:tc>
          <w:tcPr>
            <w:tcW w:w="9935" w:type="dxa"/>
          </w:tcPr>
          <w:p w14:paraId="2640C209" w14:textId="7426476B" w:rsidR="00C17C00" w:rsidRPr="00EF788F" w:rsidRDefault="00C17C00" w:rsidP="00DE20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78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las Reglas de Operación 2016 y 2017 se ha mejorado la identificación de los componentes del programa y se esclarecieron los criterios de elegibilidad respecto a las ROP 2014.</w:t>
            </w:r>
            <w:r w:rsidR="00FC587A" w:rsidRPr="00EF78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D60111" w:rsidRPr="00EF788F">
              <w:rPr>
                <w:rFonts w:ascii="Calibri" w:hAnsi="Calibri" w:cs="Calibri"/>
                <w:color w:val="000000"/>
                <w:sz w:val="20"/>
                <w:szCs w:val="20"/>
              </w:rPr>
              <w:t>Además,</w:t>
            </w:r>
            <w:r w:rsidR="00FC587A" w:rsidRPr="00EF78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 agregó otra alinea</w:t>
            </w:r>
            <w:r w:rsidRPr="00EF788F">
              <w:rPr>
                <w:rFonts w:ascii="Calibri" w:hAnsi="Calibri" w:cs="Calibri"/>
                <w:color w:val="000000"/>
                <w:sz w:val="20"/>
                <w:szCs w:val="20"/>
              </w:rPr>
              <w:t>ción al PND 2013-2018</w:t>
            </w:r>
          </w:p>
        </w:tc>
      </w:tr>
      <w:tr w:rsidR="00F46D53" w14:paraId="25D398B0" w14:textId="77777777" w:rsidTr="00DE20F6">
        <w:trPr>
          <w:trHeight w:val="1230"/>
          <w:jc w:val="center"/>
        </w:trPr>
        <w:tc>
          <w:tcPr>
            <w:tcW w:w="2399" w:type="dxa"/>
          </w:tcPr>
          <w:p w14:paraId="209E9FB1" w14:textId="77777777" w:rsidR="00C17C00" w:rsidRDefault="00C17C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Informe de avance de indicadores para Cuenta Pública 2015</w:t>
            </w:r>
          </w:p>
        </w:tc>
        <w:tc>
          <w:tcPr>
            <w:tcW w:w="9935" w:type="dxa"/>
          </w:tcPr>
          <w:p w14:paraId="00610A45" w14:textId="2E0774DC" w:rsidR="00C17C00" w:rsidRPr="00EF788F" w:rsidRDefault="00C17C00" w:rsidP="00DE20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78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Para resolver la ASM "Existen mecanismos de rendición de cuentas" se </w:t>
            </w:r>
            <w:r w:rsidR="00D60111" w:rsidRPr="00EF78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plantea </w:t>
            </w:r>
            <w:r w:rsidRPr="00EF78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que el resultado sea el </w:t>
            </w:r>
            <w:r w:rsidR="00D60111" w:rsidRPr="00EF788F">
              <w:rPr>
                <w:rFonts w:ascii="Calibri" w:hAnsi="Calibri" w:cs="Calibri"/>
                <w:color w:val="000000"/>
                <w:sz w:val="20"/>
                <w:szCs w:val="20"/>
              </w:rPr>
              <w:t>“</w:t>
            </w:r>
            <w:r w:rsidRPr="00EF788F">
              <w:rPr>
                <w:rFonts w:ascii="Calibri" w:hAnsi="Calibri" w:cs="Calibri"/>
                <w:color w:val="000000"/>
                <w:sz w:val="20"/>
                <w:szCs w:val="20"/>
              </w:rPr>
              <w:t>Informe de avance de indicadores para Cuenta Pública 2015</w:t>
            </w:r>
            <w:r w:rsidR="00D60111" w:rsidRPr="00EF788F">
              <w:rPr>
                <w:rFonts w:ascii="Calibri" w:hAnsi="Calibri" w:cs="Calibri"/>
                <w:color w:val="000000"/>
                <w:sz w:val="20"/>
                <w:szCs w:val="20"/>
              </w:rPr>
              <w:t>”</w:t>
            </w:r>
            <w:r w:rsidRPr="00EF78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D60111" w:rsidRPr="00EF788F">
              <w:rPr>
                <w:rFonts w:ascii="Calibri" w:hAnsi="Calibri" w:cs="Calibri"/>
                <w:color w:val="000000"/>
                <w:sz w:val="20"/>
                <w:szCs w:val="20"/>
              </w:rPr>
              <w:t>No es claro que e</w:t>
            </w:r>
            <w:r w:rsidRPr="00EF78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ste resultado </w:t>
            </w:r>
            <w:r w:rsidR="00D60111" w:rsidRPr="00EF788F">
              <w:rPr>
                <w:rFonts w:ascii="Calibri" w:hAnsi="Calibri" w:cs="Calibri"/>
                <w:color w:val="000000"/>
                <w:sz w:val="20"/>
                <w:szCs w:val="20"/>
              </w:rPr>
              <w:t>de respuesta a esta ASM</w:t>
            </w:r>
            <w:r w:rsidRPr="00EF78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D60111" w:rsidRPr="00EF788F">
              <w:rPr>
                <w:rFonts w:ascii="Calibri" w:hAnsi="Calibri" w:cs="Calibri"/>
                <w:color w:val="000000"/>
                <w:sz w:val="20"/>
                <w:szCs w:val="20"/>
              </w:rPr>
              <w:t>Sin embargo, a través del</w:t>
            </w:r>
            <w:r w:rsidRPr="00EF78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Informe General de Cuenta Pública 2015 y en el Estado Analítico del Ejercicio del Presupuesto de Egresos en Clasificación Funcional-Programática </w:t>
            </w:r>
            <w:r w:rsidR="00D60111" w:rsidRPr="00EF788F">
              <w:rPr>
                <w:rFonts w:ascii="Calibri" w:hAnsi="Calibri" w:cs="Calibri"/>
                <w:color w:val="000000"/>
                <w:sz w:val="20"/>
                <w:szCs w:val="20"/>
              </w:rPr>
              <w:t>se muestra</w:t>
            </w:r>
            <w:r w:rsidRPr="00EF78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9728C" w:rsidRPr="00EF788F">
              <w:rPr>
                <w:rFonts w:ascii="Calibri" w:hAnsi="Calibri" w:cs="Calibri"/>
                <w:color w:val="000000"/>
                <w:sz w:val="20"/>
                <w:szCs w:val="20"/>
              </w:rPr>
              <w:t>la entrega de</w:t>
            </w:r>
            <w:r w:rsidR="00D60111" w:rsidRPr="00EF78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evidencia de esta rendición de cuentas </w:t>
            </w:r>
            <w:r w:rsidRPr="00EF78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respecto al Programa Nacional de Becas en su ejercicio 2015. </w:t>
            </w:r>
          </w:p>
        </w:tc>
      </w:tr>
      <w:tr w:rsidR="00F46D53" w14:paraId="44D613C0" w14:textId="77777777" w:rsidTr="00DE20F6">
        <w:trPr>
          <w:trHeight w:val="2254"/>
          <w:jc w:val="center"/>
        </w:trPr>
        <w:tc>
          <w:tcPr>
            <w:tcW w:w="2399" w:type="dxa"/>
          </w:tcPr>
          <w:p w14:paraId="41956471" w14:textId="77777777" w:rsidR="00C17C00" w:rsidRDefault="00C17C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Documento Diagnóstico</w:t>
            </w:r>
          </w:p>
        </w:tc>
        <w:tc>
          <w:tcPr>
            <w:tcW w:w="9935" w:type="dxa"/>
          </w:tcPr>
          <w:p w14:paraId="1B3B1660" w14:textId="7B8B85D3" w:rsidR="00C17C00" w:rsidRPr="00EF788F" w:rsidRDefault="00C17C00" w:rsidP="00DE20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78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 el diagnóstico </w:t>
            </w:r>
            <w:r w:rsidR="00BD128B" w:rsidRPr="00EF788F">
              <w:rPr>
                <w:rFonts w:ascii="Calibri" w:hAnsi="Calibri" w:cs="Calibri"/>
                <w:color w:val="000000"/>
                <w:sz w:val="20"/>
                <w:szCs w:val="20"/>
              </w:rPr>
              <w:t>2017</w:t>
            </w:r>
            <w:r w:rsidRPr="00EF788F">
              <w:rPr>
                <w:rFonts w:ascii="Calibri" w:hAnsi="Calibri" w:cs="Calibri"/>
                <w:color w:val="000000"/>
                <w:sz w:val="20"/>
                <w:szCs w:val="20"/>
              </w:rPr>
              <w:t>se ob</w:t>
            </w:r>
            <w:r w:rsidR="00BD128B" w:rsidRPr="00EF788F">
              <w:rPr>
                <w:rFonts w:ascii="Calibri" w:hAnsi="Calibri" w:cs="Calibri"/>
                <w:color w:val="000000"/>
                <w:sz w:val="20"/>
                <w:szCs w:val="20"/>
              </w:rPr>
              <w:t>servan diversos resultados: a) s</w:t>
            </w:r>
            <w:r w:rsidRPr="00EF788F">
              <w:rPr>
                <w:rFonts w:ascii="Calibri" w:hAnsi="Calibri" w:cs="Calibri"/>
                <w:color w:val="000000"/>
                <w:sz w:val="20"/>
                <w:szCs w:val="20"/>
              </w:rPr>
              <w:t>e actualizó el presupuesto 2016 y la estimación del costo operativo d</w:t>
            </w:r>
            <w:r w:rsidR="00D60111" w:rsidRPr="00EF788F">
              <w:rPr>
                <w:rFonts w:ascii="Calibri" w:hAnsi="Calibri" w:cs="Calibri"/>
                <w:color w:val="000000"/>
                <w:sz w:val="20"/>
                <w:szCs w:val="20"/>
              </w:rPr>
              <w:t>el programa para este mismo año;</w:t>
            </w:r>
            <w:r w:rsidR="00BD128B" w:rsidRPr="00EF78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b) e</w:t>
            </w:r>
            <w:r w:rsidRPr="00EF78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xisten datos sobre la población potencial y objetivo 2016. Se cuantificó por Unidad Responsable, </w:t>
            </w:r>
            <w:r w:rsidR="00D60111" w:rsidRPr="00EF788F">
              <w:rPr>
                <w:rFonts w:ascii="Calibri" w:hAnsi="Calibri" w:cs="Calibri"/>
                <w:color w:val="000000"/>
                <w:sz w:val="20"/>
                <w:szCs w:val="20"/>
              </w:rPr>
              <w:t>pero,</w:t>
            </w:r>
            <w:r w:rsidRPr="00EF78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aunque se buscaba que las 19 unidades responsables identificaran la población potencial y objetivo, la Dirección General de Relaciones Internacionales (DGRI) no presentó estos datos. El dato sobre población objetivo general del programa no se ajusta a la suma de los datos presentados </w:t>
            </w:r>
            <w:r w:rsidR="00D60111" w:rsidRPr="00EF78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 los cuadros del diagnóstico. </w:t>
            </w:r>
            <w:r w:rsidRPr="00EF78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Esta información en el </w:t>
            </w:r>
            <w:r w:rsidR="00D60111" w:rsidRPr="00EF788F">
              <w:rPr>
                <w:rFonts w:ascii="Calibri" w:hAnsi="Calibri" w:cs="Calibri"/>
                <w:color w:val="000000"/>
                <w:sz w:val="20"/>
                <w:szCs w:val="20"/>
              </w:rPr>
              <w:t>diagnóstico</w:t>
            </w:r>
            <w:r w:rsidRPr="00EF78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general responde a la mejora en la cuantifi</w:t>
            </w:r>
            <w:r w:rsidR="00D60111" w:rsidRPr="00EF788F">
              <w:rPr>
                <w:rFonts w:ascii="Calibri" w:hAnsi="Calibri" w:cs="Calibri"/>
                <w:color w:val="000000"/>
                <w:sz w:val="20"/>
                <w:szCs w:val="20"/>
              </w:rPr>
              <w:t>cación de la población objetivo;</w:t>
            </w:r>
            <w:r w:rsidRPr="00EF78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c)</w:t>
            </w:r>
            <w:r w:rsidR="00D60111" w:rsidRPr="00EF78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BD128B" w:rsidRPr="00EF788F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Pr="00EF788F">
              <w:rPr>
                <w:rFonts w:ascii="Calibri" w:hAnsi="Calibri" w:cs="Calibri"/>
                <w:color w:val="000000"/>
                <w:sz w:val="20"/>
                <w:szCs w:val="20"/>
              </w:rPr>
              <w:t>n el Diagnóstico no se aprecian</w:t>
            </w:r>
            <w:r w:rsidR="00D60111" w:rsidRPr="00EF78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los logros del programa;</w:t>
            </w:r>
            <w:r w:rsidR="00BD128B" w:rsidRPr="00EF78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d) e</w:t>
            </w:r>
            <w:r w:rsidRPr="00EF78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 diagnóstico señala datos de poblaciones y presupuestos 2016 por lo que está actualizado para este ejercicio. Quizá sería importante incorporar los datos históricos en general, así se apreciaría la evolución en los datos esenciales del programa y su relación con la </w:t>
            </w:r>
            <w:r w:rsidR="00FC587A" w:rsidRPr="00EF788F">
              <w:rPr>
                <w:rFonts w:ascii="Calibri" w:hAnsi="Calibri" w:cs="Calibri"/>
                <w:color w:val="000000"/>
                <w:sz w:val="20"/>
                <w:szCs w:val="20"/>
              </w:rPr>
              <w:t>información</w:t>
            </w:r>
            <w:r w:rsidRPr="00EF78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actualizada. </w:t>
            </w:r>
          </w:p>
        </w:tc>
      </w:tr>
      <w:tr w:rsidR="00F46D53" w14:paraId="520D6FBC" w14:textId="77777777" w:rsidTr="00F46D53">
        <w:trPr>
          <w:trHeight w:val="1293"/>
          <w:jc w:val="center"/>
        </w:trPr>
        <w:tc>
          <w:tcPr>
            <w:tcW w:w="2399" w:type="dxa"/>
          </w:tcPr>
          <w:p w14:paraId="63C09366" w14:textId="77777777" w:rsidR="00C17C00" w:rsidRDefault="00C17C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Listado de becarias</w:t>
            </w:r>
          </w:p>
        </w:tc>
        <w:tc>
          <w:tcPr>
            <w:tcW w:w="9935" w:type="dxa"/>
          </w:tcPr>
          <w:p w14:paraId="6DE3AA69" w14:textId="39D1ED57" w:rsidR="00C17C00" w:rsidRPr="00EF788F" w:rsidRDefault="00C17C00" w:rsidP="00DE20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78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 identificó que existe complementariedad en 3,243 casos de beneficiarias que reciben la Beca de Apoyo a la Educación Básica de Madres Jóvenes y Embarazadas del PNB y los apoyos del Programa de Inclusión Social Prospera. Esta evidencia se muestra a través del Oficio DGLP/118/2017 mediante el cual la Dirección General de Padrón y Liquidación de la Coordinación Nacional del Programa Prospera notifica a </w:t>
            </w:r>
            <w:r w:rsidR="00D60111" w:rsidRPr="00EF788F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EF78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 Dirección General de Educación Indígena los resultados de la confronta de padrones. </w:t>
            </w:r>
          </w:p>
        </w:tc>
      </w:tr>
      <w:tr w:rsidR="00F46D53" w14:paraId="476023CD" w14:textId="77777777" w:rsidTr="00F46D53">
        <w:trPr>
          <w:trHeight w:val="777"/>
          <w:jc w:val="center"/>
        </w:trPr>
        <w:tc>
          <w:tcPr>
            <w:tcW w:w="2399" w:type="dxa"/>
          </w:tcPr>
          <w:p w14:paraId="68846738" w14:textId="77777777" w:rsidR="00C17C00" w:rsidRDefault="00C17C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Padrón Actualizado</w:t>
            </w:r>
          </w:p>
        </w:tc>
        <w:tc>
          <w:tcPr>
            <w:tcW w:w="9935" w:type="dxa"/>
          </w:tcPr>
          <w:p w14:paraId="3A78CD13" w14:textId="790374AD" w:rsidR="00C17C00" w:rsidRPr="00EF788F" w:rsidRDefault="00C17C00" w:rsidP="00DE20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78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Aunque se señaló que la actualización del padrón </w:t>
            </w:r>
            <w:r w:rsidR="00FC587A" w:rsidRPr="00EF788F">
              <w:rPr>
                <w:rFonts w:ascii="Calibri" w:hAnsi="Calibri" w:cs="Calibri"/>
                <w:color w:val="000000"/>
                <w:sz w:val="20"/>
                <w:szCs w:val="20"/>
              </w:rPr>
              <w:t>de beneficiarios</w:t>
            </w:r>
            <w:r w:rsidRPr="00EF78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del Programa se reflejaría en el documento diagnóstico (ligas de consulta por UR con campos en común</w:t>
            </w:r>
            <w:r w:rsidR="00FC587A" w:rsidRPr="00EF788F">
              <w:rPr>
                <w:rFonts w:ascii="Calibri" w:hAnsi="Calibri" w:cs="Calibri"/>
                <w:color w:val="000000"/>
                <w:sz w:val="20"/>
                <w:szCs w:val="20"/>
              </w:rPr>
              <w:t>), sólo</w:t>
            </w:r>
            <w:r w:rsidRPr="00EF78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 incluyen siete enlaces a padrones de beneficiarios del Programa (41%). Uno de estos enlaces está roto. De ahí que los resultados de este ASM no se </w:t>
            </w:r>
            <w:r w:rsidR="001D497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han </w:t>
            </w:r>
            <w:r w:rsidRPr="00EF78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logrado del todo. </w:t>
            </w:r>
          </w:p>
        </w:tc>
      </w:tr>
      <w:tr w:rsidR="00F46D53" w14:paraId="72E2FD5F" w14:textId="77777777" w:rsidTr="00F46D53">
        <w:trPr>
          <w:trHeight w:val="840"/>
          <w:jc w:val="center"/>
        </w:trPr>
        <w:tc>
          <w:tcPr>
            <w:tcW w:w="2399" w:type="dxa"/>
          </w:tcPr>
          <w:p w14:paraId="7F9849B3" w14:textId="77777777" w:rsidR="00C17C00" w:rsidRDefault="00C17C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Plantilla de población atendida con los criterios solicitados (grupos de edad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y desagregación geográfica municipal y localidad)</w:t>
            </w:r>
          </w:p>
        </w:tc>
        <w:tc>
          <w:tcPr>
            <w:tcW w:w="9935" w:type="dxa"/>
          </w:tcPr>
          <w:p w14:paraId="105047E6" w14:textId="0A3EFF80" w:rsidR="00C17C00" w:rsidRPr="00EF788F" w:rsidRDefault="00C17C00" w:rsidP="001D49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788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Mejora de la plantilla de población atendida. </w:t>
            </w:r>
            <w:r w:rsidR="001D4979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Pr="00EF788F">
              <w:rPr>
                <w:rFonts w:ascii="Calibri" w:hAnsi="Calibri" w:cs="Calibri"/>
                <w:color w:val="000000"/>
                <w:sz w:val="20"/>
                <w:szCs w:val="20"/>
              </w:rPr>
              <w:t>ara tal fin se puede utilizar la plantilla de población atendida de CONEVAL.</w:t>
            </w:r>
          </w:p>
        </w:tc>
      </w:tr>
      <w:tr w:rsidR="00F46D53" w14:paraId="50A0FDA0" w14:textId="77777777" w:rsidTr="00F46D53">
        <w:trPr>
          <w:trHeight w:val="840"/>
          <w:jc w:val="center"/>
        </w:trPr>
        <w:tc>
          <w:tcPr>
            <w:tcW w:w="2399" w:type="dxa"/>
          </w:tcPr>
          <w:p w14:paraId="091F15E8" w14:textId="77777777" w:rsidR="00C17C00" w:rsidRPr="001B4CBF" w:rsidRDefault="00C17C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EF788F">
              <w:rPr>
                <w:rFonts w:ascii="Calibri" w:hAnsi="Calibri" w:cs="Calibri"/>
                <w:color w:val="000000"/>
                <w:sz w:val="20"/>
                <w:szCs w:val="20"/>
              </w:rPr>
              <w:t>Reportes estadísticos</w:t>
            </w:r>
          </w:p>
        </w:tc>
        <w:tc>
          <w:tcPr>
            <w:tcW w:w="9935" w:type="dxa"/>
          </w:tcPr>
          <w:p w14:paraId="08982A72" w14:textId="77FE2943" w:rsidR="00C17C00" w:rsidRPr="00EF788F" w:rsidRDefault="00EF788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Aunque hay información estadística a nivel general en las diferentes UR, no se</w:t>
            </w:r>
            <w:r w:rsidR="00C17C00" w:rsidRPr="00EF78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han presentado los logros del Programa Nacional de Becas en el portal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electrónico y</w:t>
            </w:r>
            <w:r w:rsidR="00C17C00" w:rsidRPr="00EF78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 información de los padrones es heterogénea entre las unidades </w:t>
            </w:r>
            <w:r w:rsidR="00D60111" w:rsidRPr="00EF788F">
              <w:rPr>
                <w:rFonts w:ascii="Calibri" w:hAnsi="Calibri" w:cs="Calibri"/>
                <w:color w:val="000000"/>
                <w:sz w:val="20"/>
                <w:szCs w:val="20"/>
              </w:rPr>
              <w:t>responsables.</w:t>
            </w:r>
          </w:p>
        </w:tc>
      </w:tr>
      <w:tr w:rsidR="00F46D53" w14:paraId="7C76215A" w14:textId="77777777" w:rsidTr="00F46D53">
        <w:trPr>
          <w:trHeight w:val="280"/>
          <w:jc w:val="center"/>
        </w:trPr>
        <w:tc>
          <w:tcPr>
            <w:tcW w:w="2399" w:type="dxa"/>
          </w:tcPr>
          <w:p w14:paraId="26772BF0" w14:textId="77777777" w:rsidR="00FC587A" w:rsidRDefault="00FC587A" w:rsidP="005B53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MIR 2018</w:t>
            </w:r>
          </w:p>
        </w:tc>
        <w:tc>
          <w:tcPr>
            <w:tcW w:w="9935" w:type="dxa"/>
          </w:tcPr>
          <w:p w14:paraId="44DD64F0" w14:textId="683FA6EA" w:rsidR="00FC587A" w:rsidRPr="00EF788F" w:rsidRDefault="006A7FC0" w:rsidP="005B53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78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Ya se cuenta con la MIR 2018 </w:t>
            </w:r>
            <w:r w:rsidR="004F0373" w:rsidRPr="00EF78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 metas que pueden derivar en una </w:t>
            </w:r>
            <w:r w:rsidRPr="00EF78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comparación </w:t>
            </w:r>
            <w:r w:rsidR="00F7448B" w:rsidRPr="00EF78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metas sexenales a nivel Propósito y Componente como lo planteado en las recomendaciones. </w:t>
            </w:r>
          </w:p>
        </w:tc>
      </w:tr>
    </w:tbl>
    <w:p w14:paraId="1F5C201D" w14:textId="77777777" w:rsidR="00F473D7" w:rsidRDefault="00F473D7" w:rsidP="00284560">
      <w:pPr>
        <w:spacing w:line="276" w:lineRule="auto"/>
        <w:ind w:right="51"/>
        <w:rPr>
          <w:rFonts w:ascii="Century Gothic" w:hAnsi="Century Gothic" w:cs="Arial"/>
          <w:b/>
          <w:iCs/>
          <w:szCs w:val="22"/>
          <w:lang w:val="es-MX"/>
        </w:rPr>
      </w:pPr>
    </w:p>
    <w:p w14:paraId="72E1CD43" w14:textId="18AB555F" w:rsidR="00F46D53" w:rsidRDefault="00F46D53" w:rsidP="00DF0E99">
      <w:pPr>
        <w:rPr>
          <w:rFonts w:ascii="Century Gothic" w:hAnsi="Century Gothic" w:cs="Arial"/>
          <w:b/>
          <w:iCs/>
          <w:szCs w:val="22"/>
          <w:lang w:val="es-MX"/>
        </w:rPr>
      </w:pPr>
    </w:p>
    <w:p w14:paraId="5B8C803E" w14:textId="3820C2EF" w:rsidR="00F46D53" w:rsidRDefault="00F46D53">
      <w:pPr>
        <w:rPr>
          <w:rFonts w:ascii="Century Gothic" w:hAnsi="Century Gothic" w:cs="Arial"/>
          <w:b/>
          <w:iCs/>
          <w:szCs w:val="22"/>
          <w:lang w:val="es-MX"/>
        </w:rPr>
      </w:pPr>
      <w:r>
        <w:rPr>
          <w:rFonts w:ascii="Century Gothic" w:hAnsi="Century Gothic" w:cs="Arial"/>
          <w:b/>
          <w:iCs/>
          <w:szCs w:val="22"/>
          <w:lang w:val="es-MX"/>
        </w:rPr>
        <w:br w:type="page"/>
      </w:r>
    </w:p>
    <w:sectPr w:rsidR="00F46D53" w:rsidSect="006B40E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46609"/>
    <w:multiLevelType w:val="hybridMultilevel"/>
    <w:tmpl w:val="6AD839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D5617"/>
    <w:multiLevelType w:val="hybridMultilevel"/>
    <w:tmpl w:val="E28A8A86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4B21AB3"/>
    <w:multiLevelType w:val="hybridMultilevel"/>
    <w:tmpl w:val="D99AAAB4"/>
    <w:lvl w:ilvl="0" w:tplc="0C0A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FE"/>
    <w:rsid w:val="00053164"/>
    <w:rsid w:val="0006342C"/>
    <w:rsid w:val="000836F0"/>
    <w:rsid w:val="000921CB"/>
    <w:rsid w:val="00092E2D"/>
    <w:rsid w:val="000C08B2"/>
    <w:rsid w:val="000C7504"/>
    <w:rsid w:val="000F3223"/>
    <w:rsid w:val="00102038"/>
    <w:rsid w:val="00105CCD"/>
    <w:rsid w:val="00124149"/>
    <w:rsid w:val="00164531"/>
    <w:rsid w:val="00176F8E"/>
    <w:rsid w:val="001B4CBF"/>
    <w:rsid w:val="001D4979"/>
    <w:rsid w:val="001E6158"/>
    <w:rsid w:val="002248E4"/>
    <w:rsid w:val="00262FEA"/>
    <w:rsid w:val="00273281"/>
    <w:rsid w:val="00284560"/>
    <w:rsid w:val="002C04F9"/>
    <w:rsid w:val="002C7F44"/>
    <w:rsid w:val="002E405E"/>
    <w:rsid w:val="003066C6"/>
    <w:rsid w:val="003102AF"/>
    <w:rsid w:val="003145C8"/>
    <w:rsid w:val="00317313"/>
    <w:rsid w:val="00333807"/>
    <w:rsid w:val="00352E20"/>
    <w:rsid w:val="003666A8"/>
    <w:rsid w:val="003A5A14"/>
    <w:rsid w:val="003D43E9"/>
    <w:rsid w:val="0045161C"/>
    <w:rsid w:val="00483143"/>
    <w:rsid w:val="004866C3"/>
    <w:rsid w:val="00487266"/>
    <w:rsid w:val="004A1439"/>
    <w:rsid w:val="004C745D"/>
    <w:rsid w:val="004F0373"/>
    <w:rsid w:val="005000E3"/>
    <w:rsid w:val="00571A78"/>
    <w:rsid w:val="005816FF"/>
    <w:rsid w:val="005B5309"/>
    <w:rsid w:val="005C7E9A"/>
    <w:rsid w:val="006266F4"/>
    <w:rsid w:val="00627E6D"/>
    <w:rsid w:val="00644507"/>
    <w:rsid w:val="006561BD"/>
    <w:rsid w:val="006A7FC0"/>
    <w:rsid w:val="006B40E7"/>
    <w:rsid w:val="00701CBA"/>
    <w:rsid w:val="00723CD1"/>
    <w:rsid w:val="0076590F"/>
    <w:rsid w:val="007779C4"/>
    <w:rsid w:val="00783DCC"/>
    <w:rsid w:val="007A50D9"/>
    <w:rsid w:val="007E59A9"/>
    <w:rsid w:val="007F539F"/>
    <w:rsid w:val="008172D9"/>
    <w:rsid w:val="00824BDE"/>
    <w:rsid w:val="008435DB"/>
    <w:rsid w:val="0086675F"/>
    <w:rsid w:val="008F1624"/>
    <w:rsid w:val="009071FA"/>
    <w:rsid w:val="0094007D"/>
    <w:rsid w:val="009520EB"/>
    <w:rsid w:val="00965474"/>
    <w:rsid w:val="00967A93"/>
    <w:rsid w:val="009B1F2C"/>
    <w:rsid w:val="009C589B"/>
    <w:rsid w:val="009F1CC4"/>
    <w:rsid w:val="00A03746"/>
    <w:rsid w:val="00A30950"/>
    <w:rsid w:val="00A83AFE"/>
    <w:rsid w:val="00A869BC"/>
    <w:rsid w:val="00A94A7F"/>
    <w:rsid w:val="00B06DE2"/>
    <w:rsid w:val="00B55ADA"/>
    <w:rsid w:val="00BD128B"/>
    <w:rsid w:val="00BD5E41"/>
    <w:rsid w:val="00BE3087"/>
    <w:rsid w:val="00BF25AF"/>
    <w:rsid w:val="00C17C00"/>
    <w:rsid w:val="00C4510F"/>
    <w:rsid w:val="00CB0B79"/>
    <w:rsid w:val="00CB3F16"/>
    <w:rsid w:val="00CC75EC"/>
    <w:rsid w:val="00CD35F9"/>
    <w:rsid w:val="00D60111"/>
    <w:rsid w:val="00D75317"/>
    <w:rsid w:val="00DE20F6"/>
    <w:rsid w:val="00DF0E99"/>
    <w:rsid w:val="00DF4543"/>
    <w:rsid w:val="00E11F55"/>
    <w:rsid w:val="00E67C95"/>
    <w:rsid w:val="00E95DE7"/>
    <w:rsid w:val="00E9728C"/>
    <w:rsid w:val="00EA48A3"/>
    <w:rsid w:val="00ED2B76"/>
    <w:rsid w:val="00EF788F"/>
    <w:rsid w:val="00F03EB5"/>
    <w:rsid w:val="00F46D53"/>
    <w:rsid w:val="00F473D7"/>
    <w:rsid w:val="00F56AB8"/>
    <w:rsid w:val="00F7448B"/>
    <w:rsid w:val="00F84940"/>
    <w:rsid w:val="00FC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79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C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A83AFE"/>
    <w:pPr>
      <w:ind w:left="720"/>
      <w:contextualSpacing/>
    </w:pPr>
    <w:rPr>
      <w:rFonts w:ascii="Times" w:eastAsia="Times" w:hAnsi="Times" w:cs="Times New Roman"/>
      <w:szCs w:val="20"/>
      <w:lang w:eastAsia="es-ES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rsid w:val="00A83AFE"/>
    <w:rPr>
      <w:rFonts w:ascii="Times" w:eastAsia="Times" w:hAnsi="Times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DA8D4E35-F4BE-4359-89F7-3F19DE3D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Nélyda Solana Villanueva</dc:creator>
  <cp:keywords/>
  <dc:description/>
  <cp:lastModifiedBy>Usuario de Windows</cp:lastModifiedBy>
  <cp:revision>2</cp:revision>
  <dcterms:created xsi:type="dcterms:W3CDTF">2018-08-10T15:17:00Z</dcterms:created>
  <dcterms:modified xsi:type="dcterms:W3CDTF">2018-08-10T15:17:00Z</dcterms:modified>
</cp:coreProperties>
</file>